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《辉南县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</w:rPr>
        <w:t>供水企业成本规制管理办法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起草说明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320" w:firstLineChars="1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办法制定背景及依据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为了加强对供水企业成本费用的监管，严格控制成本费用范围和标准，增强供水定价成本的科学性、合理性和公正性，在保证供水服务满足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发展需求的前提下，更好地维护消费者合法权益，最大程度促进企业提质增效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根据财政部《企业会计准则》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财政部令33号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《企业产品成本核算制度》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财会〔2013〕17号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和国家发展改革委《政府制定价格成本监审办法》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国家发展和改革委员会令 第8号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《城镇供水定价成本监审办法》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国家发展和改革委员会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中华人民共和国住房和城乡建设部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令第45号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结合本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县住建局牵头起草了《辉南县供水企业成本规制管理办法》（下称管理办法），并在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充分征询县相关部门的意见基础上进行了修改和完善。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二、办法主要内容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《管理办法》共十五条。第一条至第五条明确了办法依据、适用范围、有关用语的定义、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管理机构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和机构职责等内容；第六条至第八条明确了成本费用规制原则、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成本费用构成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和重点科目的列支规定；第九条至第十三条明确了管理效率指标、设备日常维护、适时调整内容、评价机构、评价内容及评价结果的应用等内容。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第十四至十五条明确了解释部门及施行日期。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GQ5ZTkwMDNmOTQ2YmVjOWQzZmIxNTEwYjVkZWMifQ=="/>
  </w:docVars>
  <w:rsids>
    <w:rsidRoot w:val="3CB019A8"/>
    <w:rsid w:val="3CB0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1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2023-09-06T00:11:00Z</dcterms:created>
  <dc:creator>温故知新</dc:creator>
  <cp:lastModifiedBy>温故知新</cp:lastModifiedBy>
  <cp:lastPrinted>2023-09-06T02:19:46Z</cp:lastPrinted>
  <dcterms:modified xsi:type="dcterms:W3CDTF">2023-09-06T02:36:07Z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0CF918F1E7964E67B5BDEDBA8C818DA6_11</vt:lpwstr>
  </property>
</Properties>
</file>