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辉南县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人民政府重大事项集体决策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为健全科学、民主、依法决策机制，根据《重大行政决策程序暂行条例》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《吉林省重大行政决策程序规定》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《通化市人民政府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重大事项集体决策实施办法（试行）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》《辉南县人民政府工作规则》等有关规定，结合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政府工作实际，围绕重大决策、重大项目安排和大额度资金使用等重大事项，制定本实施办法。</w:t>
      </w:r>
    </w:p>
    <w:p>
      <w:pPr>
        <w:widowControl w:val="0"/>
        <w:wordWrap/>
        <w:adjustRightInd/>
        <w:snapToGrid/>
        <w:spacing w:beforeLines="50" w:afterLines="50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重大事项范围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第一条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重大决策。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贯彻落实党的路线方针政策、重要法律法规和党中央国务院、省委省政府、市委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市政府、县委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重大决策、重要部署、重要会议等方面的重大事项；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人大及其常委会作出的有关决议、决定和措施。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委常委会议、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委深改委会议、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人大及其常委会议审议的重大事项，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人大及其常委会议审议的议案和需要向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政协通报的重要事项。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上报上级机关的重要报告、请示。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政府重大行政决策事项。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政府办公室名义制定印发的重要决定、行政规范性文件。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政府名义表彰奖励事宜。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制定或调整重大突发公共事件应急预案。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有关民生工作的重要部署以及涉及人民群众切身利益的重大事项。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涉及稳定的重大事件处理、重要信访矛盾化解、重大事故处理和重要突发事件应急处置等方面的重大事项。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县乡两级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重大财权、事权划分意见。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，吉林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辉南经济开发区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管委会，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政府各部门和单位向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政府请示的涉及全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的重要事项。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重要的国有独资企业、国有独资公司、国有资本控股公司成立、解散、申请破产等重大事项。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其他应由集体决策的重要事项。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重大项目安排。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</w:rPr>
        <w:t>和省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投资项目需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本级实施并匹配资金的重大项目。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以财政资金或债务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股权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等融资方式投资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以上的重大项目。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国有资产参与合资、合作总投资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以上的重大项目。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对经济社会发展有重大影响、涉及重大公共利益的项目。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需要地方政府提供政策扶持或资金支持的非政府性投资重大项目。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其他应由集体决策的重大项目安排事项。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大额度资金使用。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县本级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年度财政预算及调整。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财政预算追加支出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财政资金出借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万元（含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以上的。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属企业单笔股权投资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县属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国有股权转让、国有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土地收储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以上的，国有（集体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资产资源处置以及大宗国有资产、物资采购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其他应由集体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策的大额度资金使用事项。</w:t>
      </w:r>
    </w:p>
    <w:p>
      <w:pPr>
        <w:widowControl w:val="0"/>
        <w:wordWrap/>
        <w:adjustRightInd/>
        <w:snapToGrid/>
        <w:spacing w:beforeLines="50" w:afterLines="50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决策酝酿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重大事项决策前，应深入调查研究，认真细致做好相关准备工作，内容涉及多个部门的，应事先征求相关部门意见；未征求相关部门意见或未达成一致意见的，不得提交会议讨论。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重大事项决策前，必须进行合法性审查，未经审查或审查不合格的，不得提交会议讨论。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重大事项决策前，属于重大行政决策的，要按照重大行政决策相关程序规定，履行公众参与、专家论证、风险评估等程序。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重大事项决策前，容易引发社会稳定、公共安全问题的重大决策制定、重大项目建设，以及其他对社会稳定有较大影响的重大事项，应进行社会稳定风险评估。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重大事项决策前，涉及市场主体经济活动的，应进行公平竞争审查。</w:t>
      </w:r>
    </w:p>
    <w:p>
      <w:pPr>
        <w:widowControl w:val="0"/>
        <w:wordWrap/>
        <w:adjustRightInd/>
        <w:snapToGrid/>
        <w:spacing w:beforeLines="50" w:afterLines="50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集体决策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重大事项一般通过召开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常务会议集体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决策</w:t>
      </w:r>
      <w:r>
        <w:rPr>
          <w:rFonts w:hint="eastAsia" w:ascii="仿宋_GB2312" w:hAnsi="仿宋_GB2312" w:eastAsia="仿宋_GB2312" w:cs="仿宋_GB2312"/>
          <w:sz w:val="32"/>
          <w:szCs w:val="32"/>
        </w:rPr>
        <w:t>，必要时可以召开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党组会议、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全体会议讨论决定。属于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常委会议决策范畴的，在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审议后要及时提请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委常委会议研究。因紧急情况来不及会议决策的，在报请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主要领导同意后可先作出应急安排，事后应向会议报告并由会议予以确认。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常务会议决策重大事项，需会议组成人员半数以上出席方能召开会议。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党组会议、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全体会议集体决策程序按有关规定办理。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第十一条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会议组成人员必须逐个明确表示同意、不同意或缓议的意见，不同意或缓议应说明理由。因故未到会的会议组成人员可书面表达意见。列席人员可就议题发表意见，但不参加表决。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主要领导应在会议组成人员充分发表意见的基础上，最后发表意见。</w:t>
      </w:r>
    </w:p>
    <w:p>
      <w:pPr>
        <w:widowControl w:val="0"/>
        <w:wordWrap/>
        <w:adjustRightInd/>
        <w:snapToGrid/>
        <w:spacing w:beforeLines="50" w:afterLines="50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决策执行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经会议决策的重大事项，由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班子成员按照职责分工组织落实；职责分工有交叉的，明确一名班子成员牵头，会同其他相关班子成员共同组织落实。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经会议作出的重大决策，班子成员不得擅自改变；确需改变的，应再次提交会议进行决策。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班子成员个人对决策有不同意见的可以保留，但在未作出新的决策前应无条件执行。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重大决策执行情况由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办公室按照《辉南县人民政府工作规则》相关规定进行跟踪督查，并及时将相关情况报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相关领导。</w:t>
      </w:r>
    </w:p>
    <w:p>
      <w:pPr>
        <w:widowControl w:val="0"/>
        <w:wordWrap/>
        <w:adjustRightInd/>
        <w:snapToGrid/>
        <w:spacing w:beforeLines="50" w:afterLines="50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附则</w:t>
      </w:r>
    </w:p>
    <w:p>
      <w:pPr>
        <w:widowControl w:val="0"/>
        <w:numPr>
          <w:numId w:val="0"/>
        </w:numPr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吉林辉南经济开发区管委会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决策权限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县政府部门管理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本办法自印发之日起施行。</w:t>
      </w:r>
    </w:p>
    <w:p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720" w:num="1"/>
      <w:rtlGutter w:val="0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widowControl w:val="0"/>
                  <w:wordWrap w:val="0"/>
                  <w:adjustRightInd/>
                  <w:snapToGrid/>
                  <w:textAlignment w:val="auto"/>
                  <w:rPr>
                    <w:rFonts w:hint="default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抄送"/>
    <w:qFormat/>
    <w:uiPriority w:val="0"/>
    <w:pPr>
      <w:spacing w:line="480" w:lineRule="exact"/>
      <w:ind w:firstLine="280" w:firstLineChars="100"/>
      <w:jc w:val="both"/>
    </w:pPr>
    <w:rPr>
      <w:rFonts w:ascii="仿宋_GB2312" w:hAnsi="Times New Roman" w:eastAsia="仿宋_GB2312" w:cs="Times New Roman"/>
      <w:kern w:val="2"/>
      <w:position w:val="-4"/>
      <w:sz w:val="28"/>
      <w:szCs w:val="28"/>
      <w:lang w:val="en-US" w:eastAsia="zh-CN" w:bidi="ar-SA"/>
    </w:rPr>
  </w:style>
  <w:style w:type="paragraph" w:customStyle="1" w:styleId="7">
    <w:name w:val="抄送机关"/>
    <w:qFormat/>
    <w:uiPriority w:val="0"/>
    <w:pPr>
      <w:adjustRightInd w:val="0"/>
      <w:spacing w:line="480" w:lineRule="exact"/>
      <w:ind w:firstLine="1120" w:firstLineChars="400"/>
    </w:pPr>
    <w:rPr>
      <w:rFonts w:ascii="仿宋_GB2312" w:hAnsi="Times New Roman" w:eastAsia="仿宋_GB2312" w:cs="Times New Roman"/>
      <w:kern w:val="2"/>
      <w:position w:val="6"/>
      <w:sz w:val="28"/>
      <w:szCs w:val="28"/>
      <w:lang w:val="en-US" w:eastAsia="zh-CN" w:bidi="ar-SA"/>
    </w:rPr>
  </w:style>
  <w:style w:type="paragraph" w:customStyle="1" w:styleId="8">
    <w:name w:val="印制机关"/>
    <w:qFormat/>
    <w:uiPriority w:val="0"/>
    <w:pPr>
      <w:spacing w:line="480" w:lineRule="exact"/>
      <w:ind w:firstLine="280" w:firstLineChars="100"/>
      <w:jc w:val="both"/>
    </w:pPr>
    <w:rPr>
      <w:rFonts w:ascii="仿宋_GB2312" w:hAnsi="文星仿宋" w:eastAsia="仿宋_GB2312" w:cs="Times New Roman"/>
      <w:kern w:val="2"/>
      <w:position w:val="4"/>
      <w:sz w:val="28"/>
      <w:szCs w:val="28"/>
      <w:lang w:val="en-US" w:eastAsia="zh-CN" w:bidi="ar-SA"/>
    </w:rPr>
  </w:style>
  <w:style w:type="paragraph" w:customStyle="1" w:styleId="9">
    <w:name w:val="印制日期"/>
    <w:qFormat/>
    <w:uiPriority w:val="0"/>
    <w:pPr>
      <w:spacing w:line="480" w:lineRule="exact"/>
      <w:ind w:right="295"/>
      <w:jc w:val="right"/>
    </w:pPr>
    <w:rPr>
      <w:rFonts w:ascii="仿宋_GB2312" w:hAnsi="仿宋_GB2312" w:eastAsia="仿宋_GB2312" w:cs="Times New Roman"/>
      <w:spacing w:val="8"/>
      <w:kern w:val="2"/>
      <w:position w:val="4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2021</Words>
  <Characters>2050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2023-08-30T06:00:00Z</dcterms:created>
  <dc:creator>万里琼楼</dc:creator>
  <cp:lastModifiedBy>Administrator</cp:lastModifiedBy>
  <cp:lastPrinted>2023-08-31T11:01:00Z</cp:lastPrinted>
  <dcterms:modified xsi:type="dcterms:W3CDTF">2023-09-05T07:08:09Z</dcterms:modified>
  <dc:title>辉南县人民政府重大事项集体决策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6843EDA5F8DA45DEBD192B31470006D6_13</vt:lpwstr>
  </property>
</Properties>
</file>